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ajorEastAsia" w:hAnsiTheme="majorEastAsia" w:eastAsiaTheme="majorEastAsia"/>
          <w:b/>
          <w:bCs/>
          <w:sz w:val="28"/>
          <w:szCs w:val="28"/>
        </w:rPr>
      </w:pPr>
      <w:r>
        <w:rPr>
          <w:rFonts w:hint="eastAsia" w:cs="Times New Roman" w:asciiTheme="majorEastAsia" w:hAnsiTheme="majorEastAsia" w:eastAsiaTheme="majorEastAsia"/>
          <w:b/>
          <w:bCs/>
          <w:sz w:val="28"/>
          <w:szCs w:val="28"/>
        </w:rPr>
        <w:t>2023年南开大学商学院MBA项目“商·励英”入学奖学金实施细则</w:t>
      </w:r>
    </w:p>
    <w:p>
      <w:pPr>
        <w:jc w:val="center"/>
        <w:rPr>
          <w:rFonts w:cs="黑体" w:asciiTheme="majorEastAsia" w:hAnsiTheme="majorEastAsia" w:eastAsiaTheme="majorEastAsia"/>
          <w:sz w:val="24"/>
          <w:szCs w:val="32"/>
        </w:rPr>
      </w:pP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根据</w:t>
      </w:r>
      <w:r>
        <w:rPr>
          <w:rFonts w:hint="eastAsia" w:cs="宋体" w:asciiTheme="majorEastAsia" w:hAnsiTheme="majorEastAsia" w:eastAsiaTheme="majorEastAsia"/>
          <w:kern w:val="0"/>
          <w:sz w:val="24"/>
        </w:rPr>
        <w:t>《南开大学研究生奖学金管理办法》</w:t>
      </w:r>
      <w:r>
        <w:rPr>
          <w:rFonts w:hint="eastAsia" w:cs="宋体" w:asciiTheme="majorEastAsia" w:hAnsiTheme="majorEastAsia" w:eastAsiaTheme="majorEastAsia"/>
          <w:color w:val="000000"/>
          <w:kern w:val="0"/>
          <w:sz w:val="24"/>
        </w:rPr>
        <w:t>的相关要求，为做好商学院MBA项目“商·励英”入学奖学金的评审工作，特制定本细则。</w:t>
      </w: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商学院成立“商·励英”入学奖学金专家评审委员会，评审委员由商学院负责专业学位的</w:t>
      </w:r>
      <w:r>
        <w:rPr>
          <w:rFonts w:hint="eastAsia" w:cs="宋体" w:asciiTheme="majorEastAsia" w:hAnsiTheme="majorEastAsia" w:eastAsiaTheme="majorEastAsia"/>
          <w:color w:val="000000"/>
          <w:kern w:val="0"/>
          <w:sz w:val="24"/>
          <w:lang w:eastAsia="zh-Hans"/>
        </w:rPr>
        <w:t>主管</w:t>
      </w:r>
      <w:r>
        <w:rPr>
          <w:rFonts w:hint="eastAsia" w:cs="宋体" w:asciiTheme="majorEastAsia" w:hAnsiTheme="majorEastAsia" w:eastAsiaTheme="majorEastAsia"/>
          <w:color w:val="000000"/>
          <w:kern w:val="0"/>
          <w:sz w:val="24"/>
        </w:rPr>
        <w:t>院长、专业学位教育中心和教学中心主任、MBA项目课程教授、导师代表组成，负责MBA项目“商·励英”入学奖学金的评审工作，并裁决有关申诉事项。</w:t>
      </w:r>
    </w:p>
    <w:p>
      <w:pPr>
        <w:numPr>
          <w:ilvl w:val="0"/>
          <w:numId w:val="1"/>
        </w:numPr>
        <w:spacing w:line="360" w:lineRule="auto"/>
        <w:ind w:firstLine="482" w:firstLineChars="200"/>
        <w:jc w:val="left"/>
        <w:rPr>
          <w:rFonts w:cs="宋体" w:asciiTheme="majorEastAsia" w:hAnsiTheme="majorEastAsia" w:eastAsiaTheme="majorEastAsia"/>
          <w:b/>
          <w:bCs/>
          <w:color w:val="000000"/>
          <w:kern w:val="0"/>
          <w:sz w:val="24"/>
        </w:rPr>
      </w:pPr>
      <w:r>
        <w:rPr>
          <w:rFonts w:hint="eastAsia" w:cs="宋体" w:asciiTheme="majorEastAsia" w:hAnsiTheme="majorEastAsia" w:eastAsiaTheme="majorEastAsia"/>
          <w:b/>
          <w:bCs/>
          <w:color w:val="000000"/>
          <w:kern w:val="0"/>
          <w:sz w:val="24"/>
        </w:rPr>
        <w:t>评审原则</w:t>
      </w: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商学院MBA项目“商·励英”入学奖学金评审遵循公平、公开、公正的原则，追求质量、注重导向、宁缺毋滥。根据奖学金名额和奖金分配方案，专业学位教育中心将有关奖学金评选的通知公示官网，让所有报考南开大学商学院MBA项目的考生了解相关信息。</w:t>
      </w:r>
    </w:p>
    <w:p>
      <w:pPr>
        <w:spacing w:line="360" w:lineRule="auto"/>
        <w:ind w:firstLine="482" w:firstLineChars="200"/>
        <w:jc w:val="left"/>
        <w:rPr>
          <w:rFonts w:cs="宋体" w:asciiTheme="majorEastAsia" w:hAnsiTheme="majorEastAsia" w:eastAsiaTheme="majorEastAsia"/>
          <w:b/>
          <w:bCs/>
          <w:color w:val="000000"/>
          <w:kern w:val="0"/>
          <w:sz w:val="24"/>
        </w:rPr>
      </w:pPr>
      <w:r>
        <w:rPr>
          <w:rFonts w:hint="eastAsia" w:cs="宋体" w:asciiTheme="majorEastAsia" w:hAnsiTheme="majorEastAsia" w:eastAsiaTheme="majorEastAsia"/>
          <w:b/>
          <w:bCs/>
          <w:color w:val="000000"/>
          <w:kern w:val="0"/>
          <w:sz w:val="24"/>
        </w:rPr>
        <w:t>第二条 评审流程</w:t>
      </w: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商·励英”入学奖学金申请者在2022年11月15日前提交填写好的申请表以及相关证明资料，由专业学位教育中心负责鉴定，然后报送“商·励英”入学奖学金专家评审委员会进行奖学金初评。评审专家评审并匿名投票评选，综合考虑投票结果与奖学金发放名额进行获奖名额及名单的评定。“商·励英”入学奖学金获奖者将获得荣誉证书和相应的奖励。</w:t>
      </w:r>
    </w:p>
    <w:p>
      <w:pPr>
        <w:spacing w:line="360" w:lineRule="auto"/>
        <w:ind w:firstLine="482" w:firstLineChars="200"/>
        <w:jc w:val="left"/>
        <w:rPr>
          <w:rFonts w:cs="宋体" w:asciiTheme="majorEastAsia" w:hAnsiTheme="majorEastAsia" w:eastAsiaTheme="majorEastAsia"/>
          <w:b/>
          <w:bCs/>
          <w:color w:val="000000"/>
          <w:kern w:val="0"/>
          <w:sz w:val="24"/>
        </w:rPr>
      </w:pPr>
      <w:r>
        <w:rPr>
          <w:rFonts w:hint="eastAsia" w:cs="宋体" w:asciiTheme="majorEastAsia" w:hAnsiTheme="majorEastAsia" w:eastAsiaTheme="majorEastAsia"/>
          <w:b/>
          <w:bCs/>
          <w:color w:val="000000"/>
          <w:kern w:val="0"/>
          <w:sz w:val="24"/>
        </w:rPr>
        <w:t>第三条 评审标准</w:t>
      </w: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1.申请条件：面向在2023年南开大学商学院MBA项目预面试中获得“优秀”面试结果的考生。</w:t>
      </w: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2.发放条件：在全国研究生招生统一考试中报考南开大学MBA项目，通过笔试及复试，最终被南开大学MBA项目录取，并按时报到及缴纳学费。</w:t>
      </w: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3.诚信要求：申请人应确保所有申请资料真实有效，并且在申请阶段提交个人诚信说明，商学院专业学位教育中心将在发放奖学金之前，对申请人进行背景调查，如有违反诚信原则的申请人，将取消入学奖学金评选资格，并将影响录取结果。</w:t>
      </w: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4.申请者应遵守国家法律法规和学校各项规章制度。若有以下行为，不得参评入学奖学金：违反法律、法规和校规校纪；道德品质恶劣；参加邪教或其他非法组织；抵制学校举办的活动，影响恶劣；通过网络等途径损害党和政府以及学校声誉等。</w:t>
      </w:r>
    </w:p>
    <w:p>
      <w:pPr>
        <w:spacing w:line="360" w:lineRule="auto"/>
        <w:ind w:firstLine="482" w:firstLineChars="200"/>
        <w:jc w:val="left"/>
        <w:rPr>
          <w:rFonts w:cs="宋体" w:asciiTheme="majorEastAsia" w:hAnsiTheme="majorEastAsia" w:eastAsiaTheme="majorEastAsia"/>
          <w:b/>
          <w:bCs/>
          <w:color w:val="000000"/>
          <w:kern w:val="0"/>
          <w:sz w:val="24"/>
        </w:rPr>
      </w:pPr>
      <w:r>
        <w:rPr>
          <w:rFonts w:hint="eastAsia" w:cs="宋体" w:asciiTheme="majorEastAsia" w:hAnsiTheme="majorEastAsia" w:eastAsiaTheme="majorEastAsia"/>
          <w:b/>
          <w:bCs/>
          <w:color w:val="000000"/>
          <w:kern w:val="0"/>
          <w:sz w:val="24"/>
        </w:rPr>
        <w:t>第四条 奖项设置</w:t>
      </w: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1.奖励计划种类及申请条件：</w:t>
      </w: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（1）“商·励英”预面试成绩奖励计划</w:t>
      </w: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取得预面试“优秀</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资格的考生，如当年报考南开大学商学院MBA项目并参加全国研究生招生统一考试，但笔试成绩未达国家 A类分数线的申请人，南开大学商学院专业学位教育中心将保留其预面试“优秀</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资格至第二年。</w:t>
      </w: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（2）“商·励英”入学奖学金计划</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442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8" w:type="pct"/>
            <w:shd w:val="clear" w:color="auto" w:fill="FFFFFF"/>
            <w:vAlign w:val="center"/>
          </w:tcPr>
          <w:p>
            <w:pPr>
              <w:spacing w:line="360" w:lineRule="auto"/>
              <w:jc w:val="center"/>
              <w:rPr>
                <w:rFonts w:cs="宋体" w:asciiTheme="majorEastAsia" w:hAnsiTheme="majorEastAsia" w:eastAsiaTheme="majorEastAsia"/>
                <w:b/>
                <w:bCs/>
                <w:color w:val="000000"/>
                <w:kern w:val="0"/>
                <w:sz w:val="24"/>
              </w:rPr>
            </w:pPr>
            <w:r>
              <w:rPr>
                <w:rFonts w:hint="eastAsia" w:cs="宋体" w:asciiTheme="majorEastAsia" w:hAnsiTheme="majorEastAsia" w:eastAsiaTheme="majorEastAsia"/>
                <w:b/>
                <w:bCs/>
                <w:color w:val="000000"/>
                <w:kern w:val="0"/>
                <w:sz w:val="24"/>
              </w:rPr>
              <w:t>奖学金种类</w:t>
            </w:r>
          </w:p>
        </w:tc>
        <w:tc>
          <w:tcPr>
            <w:tcW w:w="2645" w:type="pct"/>
            <w:shd w:val="clear" w:color="auto" w:fill="FFFFFF"/>
            <w:vAlign w:val="center"/>
          </w:tcPr>
          <w:p>
            <w:pPr>
              <w:spacing w:line="360" w:lineRule="auto"/>
              <w:jc w:val="center"/>
              <w:rPr>
                <w:rFonts w:cs="宋体" w:asciiTheme="majorEastAsia" w:hAnsiTheme="majorEastAsia" w:eastAsiaTheme="majorEastAsia"/>
                <w:b/>
                <w:bCs/>
                <w:color w:val="000000"/>
                <w:kern w:val="0"/>
                <w:sz w:val="24"/>
              </w:rPr>
            </w:pPr>
            <w:r>
              <w:rPr>
                <w:rFonts w:hint="eastAsia" w:cs="宋体" w:asciiTheme="majorEastAsia" w:hAnsiTheme="majorEastAsia" w:eastAsiaTheme="majorEastAsia"/>
                <w:b/>
                <w:bCs/>
                <w:color w:val="000000"/>
                <w:kern w:val="0"/>
                <w:sz w:val="24"/>
              </w:rPr>
              <w:t>申请条件</w:t>
            </w:r>
          </w:p>
        </w:tc>
        <w:tc>
          <w:tcPr>
            <w:tcW w:w="1137" w:type="pct"/>
            <w:shd w:val="clear" w:color="auto" w:fill="FFFFFF"/>
            <w:vAlign w:val="center"/>
          </w:tcPr>
          <w:p>
            <w:pPr>
              <w:spacing w:line="360" w:lineRule="auto"/>
              <w:rPr>
                <w:rFonts w:cs="宋体" w:asciiTheme="majorEastAsia" w:hAnsiTheme="majorEastAsia" w:eastAsiaTheme="majorEastAsia"/>
                <w:b/>
                <w:bCs/>
                <w:color w:val="000000"/>
                <w:kern w:val="0"/>
                <w:sz w:val="24"/>
              </w:rPr>
            </w:pPr>
            <w:r>
              <w:rPr>
                <w:rFonts w:hint="eastAsia" w:cs="宋体" w:asciiTheme="majorEastAsia" w:hAnsiTheme="majorEastAsia" w:eastAsiaTheme="majorEastAsia"/>
                <w:b/>
                <w:bCs/>
                <w:color w:val="000000"/>
                <w:kern w:val="0"/>
                <w:sz w:val="24"/>
              </w:rPr>
              <w:t>金额</w:t>
            </w:r>
            <w:r>
              <w:rPr>
                <w:rFonts w:cs="宋体" w:asciiTheme="majorEastAsia" w:hAnsiTheme="majorEastAsia" w:eastAsiaTheme="majorEastAsia"/>
                <w:b/>
                <w:bCs/>
                <w:color w:val="000000"/>
                <w:kern w:val="0"/>
                <w:sz w:val="24"/>
              </w:rPr>
              <w:t xml:space="preserve"> </w:t>
            </w:r>
            <w:r>
              <w:rPr>
                <w:rFonts w:hint="eastAsia" w:cs="宋体" w:asciiTheme="majorEastAsia" w:hAnsiTheme="majorEastAsia" w:eastAsiaTheme="majorEastAsia"/>
                <w:b/>
                <w:bCs/>
                <w:color w:val="000000"/>
                <w:kern w:val="0"/>
                <w:sz w:val="24"/>
              </w:rPr>
              <w:t>（人民币</w:t>
            </w:r>
            <w:r>
              <w:rPr>
                <w:rFonts w:cs="宋体" w:asciiTheme="majorEastAsia" w:hAnsiTheme="majorEastAsia" w:eastAsiaTheme="majorEastAsia"/>
                <w:b/>
                <w:bCs/>
                <w:color w:val="000000"/>
                <w:kern w:val="0"/>
                <w:sz w:val="24"/>
              </w:rPr>
              <w:t>/</w:t>
            </w:r>
            <w:r>
              <w:rPr>
                <w:rFonts w:hint="eastAsia" w:cs="宋体" w:asciiTheme="majorEastAsia" w:hAnsiTheme="majorEastAsia" w:eastAsiaTheme="majorEastAsia"/>
                <w:b/>
                <w:bCs/>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218" w:type="pct"/>
            <w:shd w:val="clear" w:color="auto" w:fill="FFFFFF"/>
            <w:vAlign w:val="center"/>
          </w:tcPr>
          <w:p>
            <w:pPr>
              <w:spacing w:line="360" w:lineRule="auto"/>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科技创新奖学金</w:t>
            </w:r>
          </w:p>
        </w:tc>
        <w:tc>
          <w:tcPr>
            <w:tcW w:w="2645" w:type="pct"/>
            <w:shd w:val="clear" w:color="auto" w:fill="FFFFFF"/>
          </w:tcPr>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kern w:val="0"/>
                <w:sz w:val="24"/>
              </w:rPr>
              <w:t>面向战略性新兴产业</w:t>
            </w:r>
            <w:r>
              <w:rPr>
                <w:rFonts w:hint="eastAsia" w:cs="宋体" w:asciiTheme="majorEastAsia" w:hAnsiTheme="majorEastAsia" w:eastAsiaTheme="majorEastAsia"/>
                <w:kern w:val="0"/>
                <w:sz w:val="24"/>
                <w:vertAlign w:val="superscript"/>
              </w:rPr>
              <w:t>*</w:t>
            </w:r>
            <w:r>
              <w:rPr>
                <w:rFonts w:hint="eastAsia" w:cs="宋体" w:asciiTheme="majorEastAsia" w:hAnsiTheme="majorEastAsia" w:eastAsiaTheme="majorEastAsia"/>
                <w:kern w:val="0"/>
                <w:sz w:val="24"/>
              </w:rPr>
              <w:t>，具有较深资历，</w:t>
            </w:r>
            <w:r>
              <w:rPr>
                <w:rFonts w:hint="eastAsia" w:cs="宋体" w:asciiTheme="majorEastAsia" w:hAnsiTheme="majorEastAsia" w:eastAsiaTheme="majorEastAsia"/>
                <w:color w:val="000000"/>
                <w:kern w:val="0"/>
                <w:sz w:val="24"/>
              </w:rPr>
              <w:t>且在相关公司任职的重要骨干；或在科技领域、生产领域、研发领域、商业模式有重大个人创造创新；曾获得个人专利，并在实践中产生显著社会经济效益的申请人。</w:t>
            </w:r>
          </w:p>
        </w:tc>
        <w:tc>
          <w:tcPr>
            <w:tcW w:w="1137" w:type="pct"/>
            <w:vMerge w:val="restart"/>
            <w:shd w:val="clear" w:color="auto" w:fill="FFFFFF"/>
            <w:vAlign w:val="center"/>
          </w:tcPr>
          <w:p>
            <w:pPr>
              <w:spacing w:line="360" w:lineRule="auto"/>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奖学金等级:</w:t>
            </w:r>
            <w:r>
              <w:rPr>
                <w:rFonts w:hint="eastAsia" w:cs="宋体" w:asciiTheme="majorEastAsia" w:hAnsiTheme="majorEastAsia" w:eastAsiaTheme="majorEastAsia"/>
                <w:color w:val="000000"/>
                <w:kern w:val="0"/>
                <w:sz w:val="24"/>
              </w:rPr>
              <w:br w:type="textWrapping"/>
            </w:r>
            <w:r>
              <w:rPr>
                <w:rFonts w:hint="eastAsia" w:cs="宋体" w:asciiTheme="majorEastAsia" w:hAnsiTheme="majorEastAsia" w:eastAsiaTheme="majorEastAsia"/>
                <w:color w:val="000000"/>
                <w:kern w:val="0"/>
                <w:sz w:val="24"/>
              </w:rPr>
              <w:t xml:space="preserve">1.全额奖学金（218000 CNY） </w:t>
            </w:r>
            <w:r>
              <w:rPr>
                <w:rFonts w:hint="eastAsia" w:cs="宋体" w:asciiTheme="majorEastAsia" w:hAnsiTheme="majorEastAsia" w:eastAsiaTheme="majorEastAsia"/>
                <w:color w:val="000000"/>
                <w:kern w:val="0"/>
                <w:sz w:val="24"/>
              </w:rPr>
              <w:br w:type="textWrapping"/>
            </w:r>
            <w:r>
              <w:rPr>
                <w:rFonts w:hint="eastAsia" w:cs="宋体" w:asciiTheme="majorEastAsia" w:hAnsiTheme="majorEastAsia" w:eastAsiaTheme="majorEastAsia"/>
                <w:color w:val="000000"/>
                <w:kern w:val="0"/>
                <w:sz w:val="24"/>
              </w:rPr>
              <w:t>2.半额奖学金（109000 CNY）</w:t>
            </w:r>
            <w:r>
              <w:rPr>
                <w:rFonts w:hint="eastAsia" w:cs="宋体" w:asciiTheme="majorEastAsia" w:hAnsiTheme="majorEastAsia" w:eastAsiaTheme="majorEastAsia"/>
                <w:color w:val="000000"/>
                <w:kern w:val="0"/>
                <w:sz w:val="24"/>
              </w:rPr>
              <w:br w:type="textWrapping"/>
            </w:r>
            <w:r>
              <w:rPr>
                <w:rFonts w:hint="eastAsia" w:cs="宋体" w:asciiTheme="majorEastAsia" w:hAnsiTheme="majorEastAsia" w:eastAsiaTheme="majorEastAsia"/>
                <w:color w:val="000000"/>
                <w:kern w:val="0"/>
                <w:sz w:val="24"/>
              </w:rPr>
              <w:t>3.一等奖学金（50000 CNY ）</w:t>
            </w:r>
            <w:r>
              <w:rPr>
                <w:rFonts w:hint="eastAsia" w:cs="宋体" w:asciiTheme="majorEastAsia" w:hAnsiTheme="majorEastAsia" w:eastAsiaTheme="majorEastAsia"/>
                <w:color w:val="000000"/>
                <w:kern w:val="0"/>
                <w:sz w:val="24"/>
              </w:rPr>
              <w:br w:type="textWrapping"/>
            </w:r>
            <w:r>
              <w:rPr>
                <w:rFonts w:hint="eastAsia" w:cs="宋体" w:asciiTheme="majorEastAsia" w:hAnsiTheme="majorEastAsia" w:eastAsiaTheme="majorEastAsia"/>
                <w:color w:val="000000"/>
                <w:kern w:val="0"/>
                <w:sz w:val="24"/>
              </w:rPr>
              <w:t>4. 二等奖学金（30000 CNY）</w:t>
            </w:r>
            <w:r>
              <w:rPr>
                <w:rFonts w:hint="eastAsia" w:cs="宋体" w:asciiTheme="majorEastAsia" w:hAnsiTheme="majorEastAsia" w:eastAsiaTheme="majorEastAsia"/>
                <w:color w:val="000000"/>
                <w:kern w:val="0"/>
                <w:sz w:val="24"/>
              </w:rPr>
              <w:br w:type="textWrapping"/>
            </w:r>
            <w:r>
              <w:rPr>
                <w:rFonts w:hint="eastAsia" w:cs="宋体" w:asciiTheme="majorEastAsia" w:hAnsiTheme="majorEastAsia" w:eastAsiaTheme="majorEastAsia"/>
                <w:color w:val="000000"/>
                <w:kern w:val="0"/>
                <w:sz w:val="24"/>
              </w:rPr>
              <w:t>5. 三等奖学金（20000 CNY）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218" w:type="pct"/>
            <w:shd w:val="clear" w:color="auto" w:fill="FFFFFF"/>
            <w:vAlign w:val="center"/>
          </w:tcPr>
          <w:p>
            <w:pPr>
              <w:spacing w:line="360" w:lineRule="auto"/>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创业英才奖学金</w:t>
            </w:r>
          </w:p>
        </w:tc>
        <w:tc>
          <w:tcPr>
            <w:tcW w:w="2645" w:type="pct"/>
            <w:shd w:val="clear" w:color="auto" w:fill="FFFFFF"/>
          </w:tcPr>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面向在创业公司担任法人或核心股东成员的申请人，重点关注所在创业公司注册时间超过</w:t>
            </w:r>
            <w:r>
              <w:rPr>
                <w:rFonts w:cs="宋体" w:asciiTheme="majorEastAsia" w:hAnsiTheme="majorEastAsia" w:eastAsiaTheme="majorEastAsia"/>
                <w:color w:val="000000"/>
                <w:kern w:val="0"/>
                <w:sz w:val="24"/>
              </w:rPr>
              <w:t>5</w:t>
            </w:r>
            <w:r>
              <w:rPr>
                <w:rFonts w:hint="eastAsia" w:cs="宋体" w:asciiTheme="majorEastAsia" w:hAnsiTheme="majorEastAsia" w:eastAsiaTheme="majorEastAsia"/>
                <w:color w:val="000000"/>
                <w:kern w:val="0"/>
                <w:sz w:val="24"/>
              </w:rPr>
              <w:t>年以上且公司年收入连续</w:t>
            </w:r>
            <w:r>
              <w:rPr>
                <w:rFonts w:cs="宋体" w:asciiTheme="majorEastAsia" w:hAnsiTheme="majorEastAsia" w:eastAsiaTheme="majorEastAsia"/>
                <w:color w:val="000000"/>
                <w:kern w:val="0"/>
                <w:sz w:val="24"/>
              </w:rPr>
              <w:t>3</w:t>
            </w:r>
            <w:r>
              <w:rPr>
                <w:rFonts w:hint="eastAsia" w:cs="宋体" w:asciiTheme="majorEastAsia" w:hAnsiTheme="majorEastAsia" w:eastAsiaTheme="majorEastAsia"/>
                <w:color w:val="000000"/>
                <w:kern w:val="0"/>
                <w:sz w:val="24"/>
              </w:rPr>
              <w:t>年超过1000万以上的申请人，</w:t>
            </w:r>
            <w:r>
              <w:rPr>
                <w:rFonts w:hint="eastAsia" w:cs="宋体" w:asciiTheme="majorEastAsia" w:hAnsiTheme="majorEastAsia" w:eastAsiaTheme="majorEastAsia"/>
                <w:kern w:val="0"/>
                <w:sz w:val="24"/>
              </w:rPr>
              <w:t>优先关注在战略性新兴产业</w:t>
            </w:r>
            <w:r>
              <w:rPr>
                <w:rFonts w:hint="eastAsia" w:cs="宋体" w:asciiTheme="majorEastAsia" w:hAnsiTheme="majorEastAsia" w:eastAsiaTheme="majorEastAsia"/>
                <w:kern w:val="0"/>
                <w:sz w:val="24"/>
                <w:vertAlign w:val="superscript"/>
              </w:rPr>
              <w:t>*</w:t>
            </w:r>
            <w:r>
              <w:rPr>
                <w:rFonts w:hint="eastAsia" w:cs="宋体" w:asciiTheme="majorEastAsia" w:hAnsiTheme="majorEastAsia" w:eastAsiaTheme="majorEastAsia"/>
                <w:color w:val="000000"/>
                <w:kern w:val="0"/>
                <w:sz w:val="24"/>
              </w:rPr>
              <w:t>进行创业探索的申请人。</w:t>
            </w:r>
          </w:p>
        </w:tc>
        <w:tc>
          <w:tcPr>
            <w:tcW w:w="1137" w:type="pct"/>
            <w:vMerge w:val="continue"/>
            <w:shd w:val="clear" w:color="auto" w:fill="FFFFFF"/>
          </w:tcPr>
          <w:p>
            <w:pPr>
              <w:spacing w:line="360" w:lineRule="auto"/>
              <w:ind w:firstLine="480" w:firstLineChars="200"/>
              <w:jc w:val="left"/>
              <w:rPr>
                <w:rFonts w:cs="宋体" w:asciiTheme="majorEastAsia" w:hAnsiTheme="majorEastAsia" w:eastAsiaTheme="maj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18" w:type="pct"/>
            <w:shd w:val="clear" w:color="auto" w:fill="FFFFFF"/>
            <w:vAlign w:val="center"/>
          </w:tcPr>
          <w:p>
            <w:pPr>
              <w:spacing w:line="360" w:lineRule="auto"/>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杰出精英奖学金</w:t>
            </w:r>
          </w:p>
        </w:tc>
        <w:tc>
          <w:tcPr>
            <w:tcW w:w="2645" w:type="pct"/>
            <w:shd w:val="clear" w:color="auto" w:fill="FFFFFF"/>
          </w:tcPr>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面向在大中型公司担任总监级以上的企业高管申请人；</w:t>
            </w:r>
            <w:r>
              <w:rPr>
                <w:rFonts w:hint="eastAsia" w:cs="宋体" w:asciiTheme="majorEastAsia" w:hAnsiTheme="majorEastAsia" w:eastAsiaTheme="majorEastAsia"/>
                <w:color w:val="000000"/>
                <w:kern w:val="0"/>
                <w:sz w:val="24"/>
                <w:lang w:eastAsia="zh-Hans"/>
              </w:rPr>
              <w:t>或在政府</w:t>
            </w:r>
            <w:r>
              <w:rPr>
                <w:rFonts w:cs="宋体" w:asciiTheme="majorEastAsia" w:hAnsiTheme="majorEastAsia" w:eastAsiaTheme="majorEastAsia"/>
                <w:color w:val="000000"/>
                <w:kern w:val="0"/>
                <w:sz w:val="24"/>
                <w:lang w:eastAsia="zh-Hans"/>
              </w:rPr>
              <w:t>、</w:t>
            </w:r>
            <w:r>
              <w:rPr>
                <w:rFonts w:hint="eastAsia" w:cs="宋体" w:asciiTheme="majorEastAsia" w:hAnsiTheme="majorEastAsia" w:eastAsiaTheme="majorEastAsia"/>
                <w:color w:val="000000"/>
                <w:kern w:val="0"/>
                <w:sz w:val="24"/>
                <w:lang w:eastAsia="zh-Hans"/>
              </w:rPr>
              <w:t>公共事业平台担任中高层领导职务的申请人</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或担任总工程师、总经济师等技术型专家申请人；或在行业中技术过硬，业绩表现突出，对行业有重大贡献的行业精英申请人。</w:t>
            </w:r>
          </w:p>
        </w:tc>
        <w:tc>
          <w:tcPr>
            <w:tcW w:w="1137" w:type="pct"/>
            <w:vMerge w:val="continue"/>
            <w:shd w:val="clear" w:color="auto" w:fill="FFFFFF"/>
          </w:tcPr>
          <w:p>
            <w:pPr>
              <w:spacing w:line="360" w:lineRule="auto"/>
              <w:ind w:firstLine="480" w:firstLineChars="200"/>
              <w:jc w:val="left"/>
              <w:rPr>
                <w:rFonts w:cs="宋体" w:asciiTheme="majorEastAsia" w:hAnsiTheme="majorEastAsia" w:eastAsiaTheme="maj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18" w:type="pct"/>
            <w:shd w:val="clear" w:color="auto" w:fill="FFFFFF"/>
            <w:vAlign w:val="center"/>
          </w:tcPr>
          <w:p>
            <w:pPr>
              <w:spacing w:line="360" w:lineRule="auto"/>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北京生源人才奖学金</w:t>
            </w:r>
          </w:p>
        </w:tc>
        <w:tc>
          <w:tcPr>
            <w:tcW w:w="2645" w:type="pct"/>
            <w:shd w:val="clear" w:color="auto" w:fill="FFFFFF"/>
          </w:tcPr>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面向工作地点在北京</w:t>
            </w:r>
            <w:r>
              <w:rPr>
                <w:rFonts w:hint="eastAsia" w:cs="宋体" w:asciiTheme="majorEastAsia" w:hAnsiTheme="majorEastAsia" w:eastAsiaTheme="majorEastAsia"/>
                <w:kern w:val="0"/>
                <w:sz w:val="24"/>
              </w:rPr>
              <w:t>，在大中型企事业单位担任中高层管理者，或在战略性新兴产业担任公司资深骨干的申请人。</w:t>
            </w:r>
          </w:p>
        </w:tc>
        <w:tc>
          <w:tcPr>
            <w:tcW w:w="1137" w:type="pct"/>
            <w:vMerge w:val="continue"/>
            <w:shd w:val="clear" w:color="auto" w:fill="FFFFFF"/>
          </w:tcPr>
          <w:p>
            <w:pPr>
              <w:spacing w:line="360" w:lineRule="auto"/>
              <w:ind w:firstLine="480" w:firstLineChars="200"/>
              <w:jc w:val="left"/>
              <w:rPr>
                <w:rFonts w:cs="宋体" w:asciiTheme="majorEastAsia" w:hAnsiTheme="majorEastAsia" w:eastAsiaTheme="maj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18" w:type="pct"/>
            <w:shd w:val="clear" w:color="auto" w:fill="FFFFFF"/>
            <w:vAlign w:val="center"/>
          </w:tcPr>
          <w:p>
            <w:pPr>
              <w:spacing w:line="360" w:lineRule="auto"/>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模范新星奖学金</w:t>
            </w:r>
          </w:p>
        </w:tc>
        <w:tc>
          <w:tcPr>
            <w:tcW w:w="2645" w:type="pct"/>
            <w:shd w:val="clear" w:color="auto" w:fill="FFFFFF"/>
          </w:tcPr>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面向曾被授予全国或省部级</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劳动模范</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五一劳动奖章</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三八红旗手</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青年五四奖章</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新长征突击手</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青年岗位能手</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等荣誉称号的申请人。</w:t>
            </w:r>
          </w:p>
        </w:tc>
        <w:tc>
          <w:tcPr>
            <w:tcW w:w="1137" w:type="pct"/>
            <w:vMerge w:val="continue"/>
            <w:shd w:val="clear" w:color="auto" w:fill="FFFFFF"/>
          </w:tcPr>
          <w:p>
            <w:pPr>
              <w:spacing w:line="360" w:lineRule="auto"/>
              <w:ind w:firstLine="480" w:firstLineChars="200"/>
              <w:jc w:val="left"/>
              <w:rPr>
                <w:rFonts w:cs="宋体" w:asciiTheme="majorEastAsia" w:hAnsiTheme="majorEastAsia" w:eastAsiaTheme="maj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18" w:type="pct"/>
            <w:shd w:val="clear" w:color="auto" w:fill="FFFFFF"/>
            <w:vAlign w:val="center"/>
          </w:tcPr>
          <w:p>
            <w:pPr>
              <w:spacing w:line="360" w:lineRule="auto"/>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公益之星奖学金</w:t>
            </w:r>
          </w:p>
        </w:tc>
        <w:tc>
          <w:tcPr>
            <w:tcW w:w="2645" w:type="pct"/>
            <w:shd w:val="clear" w:color="auto" w:fill="FFFFFF"/>
          </w:tcPr>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面向在公益领域有突出贡献的申请人，例如以个人名义援建希望小学、捐赠</w:t>
            </w:r>
            <w:r>
              <w:rPr>
                <w:rFonts w:cs="宋体" w:asciiTheme="majorEastAsia" w:hAnsiTheme="majorEastAsia" w:eastAsiaTheme="majorEastAsia"/>
                <w:color w:val="000000"/>
                <w:kern w:val="0"/>
                <w:sz w:val="24"/>
              </w:rPr>
              <w:t>50</w:t>
            </w:r>
            <w:r>
              <w:rPr>
                <w:rFonts w:hint="eastAsia" w:cs="宋体" w:asciiTheme="majorEastAsia" w:hAnsiTheme="majorEastAsia" w:eastAsiaTheme="majorEastAsia"/>
                <w:color w:val="000000"/>
                <w:kern w:val="0"/>
                <w:sz w:val="24"/>
              </w:rPr>
              <w:t>万以上的救灾物资</w:t>
            </w:r>
            <w:r>
              <w:rPr>
                <w:rFonts w:hint="eastAsia" w:cs="宋体" w:asciiTheme="majorEastAsia" w:hAnsiTheme="majorEastAsia" w:eastAsiaTheme="majorEastAsia"/>
                <w:kern w:val="0"/>
                <w:sz w:val="24"/>
              </w:rPr>
              <w:t>；</w:t>
            </w:r>
            <w:r>
              <w:rPr>
                <w:rFonts w:hint="eastAsia" w:cs="宋体" w:asciiTheme="majorEastAsia" w:hAnsiTheme="majorEastAsia" w:eastAsiaTheme="majorEastAsia"/>
                <w:color w:val="000000"/>
                <w:kern w:val="0"/>
                <w:sz w:val="24"/>
              </w:rPr>
              <w:t>在民政局正式登记的社会公益组织的创始人或在其中工作五年及以上的核心管理人员，具有高度社会责任感，在社会公益、公共事务方面具有突出贡献的申请人。</w:t>
            </w:r>
          </w:p>
        </w:tc>
        <w:tc>
          <w:tcPr>
            <w:tcW w:w="1137" w:type="pct"/>
            <w:vMerge w:val="continue"/>
            <w:shd w:val="clear" w:color="auto" w:fill="FFFFFF"/>
          </w:tcPr>
          <w:p>
            <w:pPr>
              <w:spacing w:line="360" w:lineRule="auto"/>
              <w:ind w:firstLine="480" w:firstLineChars="200"/>
              <w:jc w:val="left"/>
              <w:rPr>
                <w:rFonts w:cs="宋体" w:asciiTheme="majorEastAsia" w:hAnsiTheme="majorEastAsia" w:eastAsiaTheme="maj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18" w:type="pct"/>
            <w:shd w:val="clear" w:color="auto" w:fill="FFFFFF"/>
            <w:vAlign w:val="center"/>
          </w:tcPr>
          <w:p>
            <w:pPr>
              <w:spacing w:line="360" w:lineRule="auto"/>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国际化人才奖学金</w:t>
            </w:r>
          </w:p>
        </w:tc>
        <w:tc>
          <w:tcPr>
            <w:tcW w:w="2645" w:type="pct"/>
            <w:shd w:val="clear" w:color="auto" w:fill="FFFFFF"/>
          </w:tcPr>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面向综合素质突出、行业背景优秀，具有海外学习或海外工作经验的申请人；在外商独资企业担任高层管理者的申请人。</w:t>
            </w:r>
          </w:p>
        </w:tc>
        <w:tc>
          <w:tcPr>
            <w:tcW w:w="1137" w:type="pct"/>
            <w:vMerge w:val="continue"/>
            <w:shd w:val="clear" w:color="auto" w:fill="FFFFFF"/>
          </w:tcPr>
          <w:p>
            <w:pPr>
              <w:spacing w:line="360" w:lineRule="auto"/>
              <w:ind w:firstLine="480" w:firstLineChars="200"/>
              <w:jc w:val="left"/>
              <w:rPr>
                <w:rFonts w:cs="宋体" w:asciiTheme="majorEastAsia" w:hAnsiTheme="majorEastAsia" w:eastAsiaTheme="maj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8" w:type="pct"/>
            <w:shd w:val="clear" w:color="auto" w:fill="FFFFFF"/>
            <w:vAlign w:val="center"/>
          </w:tcPr>
          <w:p>
            <w:pPr>
              <w:spacing w:line="360" w:lineRule="auto"/>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博士商业人才奖学金</w:t>
            </w:r>
          </w:p>
        </w:tc>
        <w:tc>
          <w:tcPr>
            <w:tcW w:w="2645" w:type="pct"/>
            <w:shd w:val="clear" w:color="auto" w:fill="FFFFFF"/>
          </w:tcPr>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面向已获得博士学位，综合素质突出、行业背景优秀的申请人。</w:t>
            </w:r>
          </w:p>
        </w:tc>
        <w:tc>
          <w:tcPr>
            <w:tcW w:w="1137" w:type="pct"/>
            <w:vMerge w:val="continue"/>
            <w:shd w:val="clear" w:color="auto" w:fill="FFFFFF"/>
          </w:tcPr>
          <w:p>
            <w:pPr>
              <w:spacing w:line="360" w:lineRule="auto"/>
              <w:ind w:firstLine="480" w:firstLineChars="200"/>
              <w:jc w:val="left"/>
              <w:rPr>
                <w:rFonts w:cs="宋体" w:asciiTheme="majorEastAsia" w:hAnsiTheme="majorEastAsia" w:eastAsiaTheme="maj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18" w:type="pct"/>
            <w:shd w:val="clear" w:color="auto" w:fill="FFFFFF"/>
            <w:vAlign w:val="center"/>
          </w:tcPr>
          <w:p>
            <w:pPr>
              <w:spacing w:line="360" w:lineRule="auto"/>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女性新星奖学金</w:t>
            </w:r>
          </w:p>
        </w:tc>
        <w:tc>
          <w:tcPr>
            <w:tcW w:w="2645" w:type="pct"/>
            <w:shd w:val="clear" w:color="auto" w:fill="FFFFFF"/>
          </w:tcPr>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面向优秀的女性创业者、行业女性精英、具备卓越领导力的大中型企业女性高管、或对所在行业具有突出贡献的女性申请人。</w:t>
            </w:r>
          </w:p>
        </w:tc>
        <w:tc>
          <w:tcPr>
            <w:tcW w:w="1137" w:type="pct"/>
            <w:vMerge w:val="continue"/>
            <w:shd w:val="clear" w:color="auto" w:fill="FFFFFF"/>
          </w:tcPr>
          <w:p>
            <w:pPr>
              <w:spacing w:line="360" w:lineRule="auto"/>
              <w:ind w:firstLine="480" w:firstLineChars="200"/>
              <w:jc w:val="left"/>
              <w:rPr>
                <w:rFonts w:cs="宋体" w:asciiTheme="majorEastAsia" w:hAnsiTheme="majorEastAsia" w:eastAsiaTheme="maj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18" w:type="pct"/>
            <w:shd w:val="clear" w:color="auto" w:fill="FFFFFF"/>
            <w:vAlign w:val="center"/>
          </w:tcPr>
          <w:p>
            <w:pPr>
              <w:spacing w:line="360" w:lineRule="auto"/>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文体新星奖学金</w:t>
            </w:r>
          </w:p>
        </w:tc>
        <w:tc>
          <w:tcPr>
            <w:tcW w:w="2645" w:type="pct"/>
            <w:shd w:val="clear" w:color="auto" w:fill="FFFFFF"/>
          </w:tcPr>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面向在文化、体育、艺术、媒体领域具备一定影响力和知名度的申请人，如影视演员、导演、主持人、画家、作家、书法家、音乐家、艺术家、运动员、或在自媒体网络平台具备一定正向影响力的关键意见领袖等文体领域申请人。</w:t>
            </w:r>
          </w:p>
        </w:tc>
        <w:tc>
          <w:tcPr>
            <w:tcW w:w="1137" w:type="pct"/>
            <w:vMerge w:val="continue"/>
            <w:shd w:val="clear" w:color="auto" w:fill="FFFFFF"/>
          </w:tcPr>
          <w:p>
            <w:pPr>
              <w:spacing w:line="360" w:lineRule="auto"/>
              <w:ind w:firstLine="480" w:firstLineChars="200"/>
              <w:jc w:val="left"/>
              <w:rPr>
                <w:rFonts w:cs="宋体" w:asciiTheme="majorEastAsia" w:hAnsiTheme="majorEastAsia" w:eastAsiaTheme="maj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000" w:type="pct"/>
            <w:gridSpan w:val="3"/>
            <w:shd w:val="clear" w:color="auto" w:fill="auto"/>
            <w:noWrap/>
          </w:tcPr>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注：</w:t>
            </w:r>
          </w:p>
          <w:p>
            <w:pPr>
              <w:spacing w:line="360" w:lineRule="auto"/>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1.*战略性新兴产业包括新一代信息技术（云计算、大数据、人工智能、机器人、虚拟现实、无人技术、信息安全）、生物技术、新能源、新材料、高端装备、新能源汽车、绿色环保及航空航天、海洋装备等产业。</w:t>
            </w:r>
          </w:p>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2.每位申请者最多只能申请其中一项最为符合自身情况的奖学金。</w:t>
            </w:r>
          </w:p>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3.每个奖学金种类实际发放的人数和金额以根据商学院最终评审结果为准。</w:t>
            </w:r>
          </w:p>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4.南开大学商学院专业学位教育中心拥有对MBA奖学金计划的最终解释权。</w:t>
            </w:r>
          </w:p>
        </w:tc>
      </w:tr>
    </w:tbl>
    <w:p>
      <w:pPr>
        <w:spacing w:line="360" w:lineRule="auto"/>
        <w:ind w:firstLine="480" w:firstLineChars="200"/>
        <w:jc w:val="left"/>
        <w:rPr>
          <w:rFonts w:cs="宋体" w:asciiTheme="majorEastAsia" w:hAnsiTheme="majorEastAsia" w:eastAsiaTheme="majorEastAsia"/>
          <w:color w:val="000000"/>
          <w:kern w:val="0"/>
          <w:sz w:val="24"/>
        </w:rPr>
      </w:pPr>
    </w:p>
    <w:p>
      <w:pPr>
        <w:numPr>
          <w:ilvl w:val="0"/>
          <w:numId w:val="2"/>
        </w:num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发放标准：</w:t>
      </w:r>
    </w:p>
    <w:tbl>
      <w:tblPr>
        <w:tblStyle w:val="5"/>
        <w:tblW w:w="5000" w:type="pct"/>
        <w:jc w:val="center"/>
        <w:tblLayout w:type="autofit"/>
        <w:tblCellMar>
          <w:top w:w="0" w:type="dxa"/>
          <w:left w:w="108" w:type="dxa"/>
          <w:bottom w:w="0" w:type="dxa"/>
          <w:right w:w="108" w:type="dxa"/>
        </w:tblCellMar>
      </w:tblPr>
      <w:tblGrid>
        <w:gridCol w:w="2991"/>
        <w:gridCol w:w="3240"/>
        <w:gridCol w:w="2291"/>
      </w:tblGrid>
      <w:tr>
        <w:tblPrEx>
          <w:tblCellMar>
            <w:top w:w="0" w:type="dxa"/>
            <w:left w:w="108" w:type="dxa"/>
            <w:bottom w:w="0" w:type="dxa"/>
            <w:right w:w="108" w:type="dxa"/>
          </w:tblCellMar>
        </w:tblPrEx>
        <w:trPr>
          <w:trHeight w:val="270" w:hRule="atLeast"/>
          <w:jc w:val="center"/>
        </w:trPr>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b/>
                <w:bCs/>
                <w:color w:val="000000"/>
                <w:kern w:val="0"/>
                <w:sz w:val="24"/>
              </w:rPr>
            </w:pPr>
            <w:r>
              <w:rPr>
                <w:rFonts w:hint="eastAsia" w:cs="宋体" w:asciiTheme="majorEastAsia" w:hAnsiTheme="majorEastAsia" w:eastAsiaTheme="majorEastAsia"/>
                <w:b/>
                <w:bCs/>
                <w:color w:val="000000"/>
                <w:kern w:val="0"/>
                <w:sz w:val="24"/>
              </w:rPr>
              <w:t>奖项</w:t>
            </w:r>
          </w:p>
        </w:tc>
        <w:tc>
          <w:tcPr>
            <w:tcW w:w="1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b/>
                <w:bCs/>
                <w:color w:val="000000"/>
                <w:kern w:val="0"/>
                <w:sz w:val="24"/>
              </w:rPr>
            </w:pPr>
            <w:r>
              <w:rPr>
                <w:rFonts w:hint="eastAsia" w:cs="宋体" w:asciiTheme="majorEastAsia" w:hAnsiTheme="majorEastAsia" w:eastAsiaTheme="majorEastAsia"/>
                <w:b/>
                <w:bCs/>
                <w:color w:val="000000"/>
                <w:kern w:val="0"/>
                <w:sz w:val="24"/>
              </w:rPr>
              <w:t>金额</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b/>
                <w:bCs/>
                <w:color w:val="000000"/>
                <w:kern w:val="0"/>
                <w:sz w:val="24"/>
              </w:rPr>
            </w:pPr>
            <w:r>
              <w:rPr>
                <w:rFonts w:hint="eastAsia" w:cs="宋体" w:asciiTheme="majorEastAsia" w:hAnsiTheme="majorEastAsia" w:eastAsiaTheme="majorEastAsia"/>
                <w:b/>
                <w:bCs/>
                <w:color w:val="000000"/>
                <w:kern w:val="0"/>
                <w:sz w:val="24"/>
              </w:rPr>
              <w:t>奖项人数</w:t>
            </w:r>
          </w:p>
        </w:tc>
      </w:tr>
      <w:tr>
        <w:tblPrEx>
          <w:tblCellMar>
            <w:top w:w="0" w:type="dxa"/>
            <w:left w:w="108" w:type="dxa"/>
            <w:bottom w:w="0" w:type="dxa"/>
            <w:right w:w="108" w:type="dxa"/>
          </w:tblCellMar>
        </w:tblPrEx>
        <w:trPr>
          <w:trHeight w:val="270" w:hRule="atLeast"/>
          <w:jc w:val="center"/>
        </w:trPr>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全额奖学金</w:t>
            </w:r>
          </w:p>
        </w:tc>
        <w:tc>
          <w:tcPr>
            <w:tcW w:w="1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218000</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w:t>
            </w:r>
          </w:p>
        </w:tc>
      </w:tr>
      <w:tr>
        <w:tblPrEx>
          <w:tblCellMar>
            <w:top w:w="0" w:type="dxa"/>
            <w:left w:w="108" w:type="dxa"/>
            <w:bottom w:w="0" w:type="dxa"/>
            <w:right w:w="108" w:type="dxa"/>
          </w:tblCellMar>
        </w:tblPrEx>
        <w:trPr>
          <w:trHeight w:val="270" w:hRule="atLeast"/>
          <w:jc w:val="center"/>
        </w:trPr>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半额奖学金</w:t>
            </w:r>
          </w:p>
        </w:tc>
        <w:tc>
          <w:tcPr>
            <w:tcW w:w="1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109000</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2</w:t>
            </w:r>
          </w:p>
        </w:tc>
      </w:tr>
      <w:tr>
        <w:tblPrEx>
          <w:tblCellMar>
            <w:top w:w="0" w:type="dxa"/>
            <w:left w:w="108" w:type="dxa"/>
            <w:bottom w:w="0" w:type="dxa"/>
            <w:right w:w="108" w:type="dxa"/>
          </w:tblCellMar>
        </w:tblPrEx>
        <w:trPr>
          <w:trHeight w:val="270" w:hRule="atLeast"/>
          <w:jc w:val="center"/>
        </w:trPr>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一等奖学金</w:t>
            </w:r>
          </w:p>
        </w:tc>
        <w:tc>
          <w:tcPr>
            <w:tcW w:w="1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50000</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4</w:t>
            </w:r>
          </w:p>
        </w:tc>
      </w:tr>
      <w:tr>
        <w:tblPrEx>
          <w:tblCellMar>
            <w:top w:w="0" w:type="dxa"/>
            <w:left w:w="108" w:type="dxa"/>
            <w:bottom w:w="0" w:type="dxa"/>
            <w:right w:w="108" w:type="dxa"/>
          </w:tblCellMar>
        </w:tblPrEx>
        <w:trPr>
          <w:trHeight w:val="270" w:hRule="atLeast"/>
          <w:jc w:val="center"/>
        </w:trPr>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二等奖学金</w:t>
            </w:r>
          </w:p>
        </w:tc>
        <w:tc>
          <w:tcPr>
            <w:tcW w:w="1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30000</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6</w:t>
            </w:r>
          </w:p>
        </w:tc>
      </w:tr>
      <w:tr>
        <w:tblPrEx>
          <w:tblCellMar>
            <w:top w:w="0" w:type="dxa"/>
            <w:left w:w="108" w:type="dxa"/>
            <w:bottom w:w="0" w:type="dxa"/>
            <w:right w:w="108" w:type="dxa"/>
          </w:tblCellMar>
        </w:tblPrEx>
        <w:trPr>
          <w:trHeight w:val="270" w:hRule="atLeast"/>
          <w:jc w:val="center"/>
        </w:trPr>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三等奖学金</w:t>
            </w:r>
          </w:p>
        </w:tc>
        <w:tc>
          <w:tcPr>
            <w:tcW w:w="1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20000</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10</w:t>
            </w:r>
          </w:p>
        </w:tc>
      </w:tr>
    </w:tbl>
    <w:p>
      <w:pPr>
        <w:spacing w:line="360" w:lineRule="auto"/>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注：奖项人数以最终实际评审结果为准。</w:t>
      </w:r>
    </w:p>
    <w:p>
      <w:pPr>
        <w:numPr>
          <w:ilvl w:val="0"/>
          <w:numId w:val="3"/>
        </w:numPr>
        <w:spacing w:line="360" w:lineRule="auto"/>
        <w:ind w:firstLine="482" w:firstLineChars="200"/>
        <w:jc w:val="left"/>
        <w:rPr>
          <w:rFonts w:cs="宋体" w:asciiTheme="majorEastAsia" w:hAnsiTheme="majorEastAsia" w:eastAsiaTheme="majorEastAsia"/>
          <w:b/>
          <w:bCs/>
          <w:color w:val="000000"/>
          <w:kern w:val="0"/>
          <w:sz w:val="24"/>
        </w:rPr>
      </w:pPr>
      <w:r>
        <w:rPr>
          <w:rFonts w:hint="eastAsia" w:cs="宋体" w:asciiTheme="majorEastAsia" w:hAnsiTheme="majorEastAsia" w:eastAsiaTheme="majorEastAsia"/>
          <w:b/>
          <w:bCs/>
          <w:color w:val="000000"/>
          <w:kern w:val="0"/>
          <w:sz w:val="24"/>
        </w:rPr>
        <w:t>评审具体办法</w:t>
      </w:r>
    </w:p>
    <w:p>
      <w:pPr>
        <w:numPr>
          <w:ilvl w:val="0"/>
          <w:numId w:val="4"/>
        </w:num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“商·励英”入学奖学金申请表</w:t>
      </w: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“商·励英”入学奖学金申请书由专业学位教育中心制定，由学生根据本细则的规定，提交书面申请书，并提供相关证明资料，由专业学位教育中心鉴定后提交奖学金评审分委员会进行评定。</w:t>
      </w:r>
    </w:p>
    <w:p>
      <w:pPr>
        <w:numPr>
          <w:ilvl w:val="0"/>
          <w:numId w:val="4"/>
        </w:num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公示</w:t>
      </w:r>
    </w:p>
    <w:p>
      <w:p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专业学位教育中心将初评的获奖学生名单进行公示。</w:t>
      </w:r>
    </w:p>
    <w:p>
      <w:pPr>
        <w:numPr>
          <w:ilvl w:val="0"/>
          <w:numId w:val="5"/>
        </w:num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公示期不得少于72小时，非经公示程序，任何申请者均不能获入学奖学金；</w:t>
      </w:r>
    </w:p>
    <w:p>
      <w:pPr>
        <w:numPr>
          <w:ilvl w:val="0"/>
          <w:numId w:val="5"/>
        </w:num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初评公示后无异议，将初评结果报送评审委员会批准实施。</w:t>
      </w:r>
    </w:p>
    <w:p>
      <w:pPr>
        <w:numPr>
          <w:ilvl w:val="0"/>
          <w:numId w:val="5"/>
        </w:numPr>
        <w:spacing w:line="360" w:lineRule="auto"/>
        <w:ind w:firstLine="480" w:firstLineChars="200"/>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对于公示期间有异议者，由奖学金评审委员会进行审查复核，并将处理结果通知相关人。</w:t>
      </w:r>
    </w:p>
    <w:p>
      <w:pPr>
        <w:numPr>
          <w:ilvl w:val="0"/>
          <w:numId w:val="3"/>
        </w:numPr>
        <w:spacing w:line="360" w:lineRule="auto"/>
        <w:ind w:firstLine="482" w:firstLineChars="200"/>
        <w:jc w:val="left"/>
        <w:rPr>
          <w:rFonts w:cs="宋体" w:asciiTheme="majorEastAsia" w:hAnsiTheme="majorEastAsia" w:eastAsiaTheme="majorEastAsia"/>
          <w:b/>
          <w:bCs/>
          <w:color w:val="000000"/>
          <w:kern w:val="0"/>
          <w:sz w:val="24"/>
        </w:rPr>
      </w:pPr>
      <w:r>
        <w:rPr>
          <w:rFonts w:hint="eastAsia" w:cs="宋体" w:asciiTheme="majorEastAsia" w:hAnsiTheme="majorEastAsia" w:eastAsiaTheme="majorEastAsia"/>
          <w:b/>
          <w:bCs/>
          <w:color w:val="000000"/>
          <w:kern w:val="0"/>
          <w:sz w:val="24"/>
          <w:lang w:val="en-US" w:eastAsia="zh-CN"/>
        </w:rPr>
        <w:t>申请方式</w:t>
      </w:r>
    </w:p>
    <w:p>
      <w:pPr>
        <w:numPr>
          <w:ilvl w:val="0"/>
          <w:numId w:val="6"/>
        </w:numPr>
        <w:spacing w:line="360" w:lineRule="auto"/>
        <w:ind w:firstLine="480" w:firstLineChars="20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请</w:t>
      </w:r>
      <w:r>
        <w:rPr>
          <w:rFonts w:hint="eastAsia" w:cs="宋体" w:asciiTheme="majorEastAsia" w:hAnsiTheme="majorEastAsia" w:eastAsiaTheme="majorEastAsia"/>
          <w:color w:val="000000"/>
          <w:kern w:val="0"/>
          <w:sz w:val="24"/>
          <w:lang w:val="en-US" w:eastAsia="zh-CN"/>
        </w:rPr>
        <w:t>申请人</w:t>
      </w:r>
      <w:r>
        <w:rPr>
          <w:rFonts w:hint="eastAsia" w:cs="宋体" w:asciiTheme="majorEastAsia" w:hAnsiTheme="majorEastAsia" w:eastAsiaTheme="majorEastAsia"/>
          <w:color w:val="000000"/>
          <w:kern w:val="0"/>
          <w:sz w:val="24"/>
        </w:rPr>
        <w:t>下载附件</w:t>
      </w:r>
      <w:r>
        <w:rPr>
          <w:rFonts w:hint="eastAsia" w:cs="宋体" w:asciiTheme="majorEastAsia" w:hAnsiTheme="majorEastAsia" w:eastAsiaTheme="majorEastAsia"/>
          <w:color w:val="000000"/>
          <w:kern w:val="0"/>
          <w:sz w:val="24"/>
          <w:lang w:val="en-US" w:eastAsia="zh-CN"/>
        </w:rPr>
        <w:t>南开大学商学院MBA“商·励英”入学奖学金申请表</w:t>
      </w:r>
      <w:r>
        <w:rPr>
          <w:rFonts w:hint="eastAsia" w:cs="宋体" w:asciiTheme="majorEastAsia" w:hAnsiTheme="majorEastAsia" w:eastAsiaTheme="majorEastAsia"/>
          <w:color w:val="000000"/>
          <w:kern w:val="0"/>
          <w:sz w:val="24"/>
        </w:rPr>
        <w:t>，无需打印和手写，直接在电脑中</w:t>
      </w:r>
      <w:r>
        <w:rPr>
          <w:rFonts w:hint="eastAsia" w:cs="宋体" w:asciiTheme="majorEastAsia" w:hAnsiTheme="majorEastAsia" w:eastAsiaTheme="majorEastAsia"/>
          <w:color w:val="000000"/>
          <w:kern w:val="0"/>
          <w:sz w:val="24"/>
          <w:lang w:val="en-US" w:eastAsia="zh-CN"/>
        </w:rPr>
        <w:t>填写</w:t>
      </w:r>
      <w:r>
        <w:rPr>
          <w:rFonts w:hint="eastAsia" w:cs="宋体" w:asciiTheme="majorEastAsia" w:hAnsiTheme="majorEastAsia" w:eastAsiaTheme="majorEastAsia"/>
          <w:color w:val="000000"/>
          <w:kern w:val="0"/>
          <w:sz w:val="24"/>
        </w:rPr>
        <w:t>后并保存为pdf格式进行提交，</w:t>
      </w:r>
      <w:r>
        <w:rPr>
          <w:rFonts w:hint="eastAsia" w:cs="宋体" w:asciiTheme="majorEastAsia" w:hAnsiTheme="majorEastAsia" w:eastAsiaTheme="majorEastAsia"/>
          <w:color w:val="000000"/>
          <w:kern w:val="0"/>
          <w:sz w:val="24"/>
          <w:lang w:val="en-US" w:eastAsia="zh-CN"/>
        </w:rPr>
        <w:t>提交时可将表格中的相关填写说明删除，表格按现有字体及大小进行填写</w:t>
      </w:r>
      <w:r>
        <w:rPr>
          <w:rFonts w:hint="eastAsia" w:cs="宋体" w:asciiTheme="majorEastAsia" w:hAnsiTheme="majorEastAsia" w:eastAsiaTheme="majorEastAsia"/>
          <w:color w:val="000000"/>
          <w:kern w:val="0"/>
          <w:sz w:val="24"/>
        </w:rPr>
        <w:t>。</w:t>
      </w:r>
    </w:p>
    <w:p>
      <w:pPr>
        <w:numPr>
          <w:ilvl w:val="0"/>
          <w:numId w:val="6"/>
        </w:numPr>
        <w:spacing w:line="360" w:lineRule="auto"/>
        <w:ind w:firstLine="480" w:firstLineChars="20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请</w:t>
      </w:r>
      <w:r>
        <w:rPr>
          <w:rFonts w:hint="eastAsia" w:cs="宋体" w:asciiTheme="majorEastAsia" w:hAnsiTheme="majorEastAsia" w:eastAsiaTheme="majorEastAsia"/>
          <w:color w:val="000000"/>
          <w:kern w:val="0"/>
          <w:sz w:val="24"/>
          <w:lang w:val="en-US" w:eastAsia="zh-CN"/>
        </w:rPr>
        <w:t>申请人</w:t>
      </w:r>
      <w:r>
        <w:rPr>
          <w:rFonts w:hint="eastAsia" w:cs="宋体" w:asciiTheme="majorEastAsia" w:hAnsiTheme="majorEastAsia" w:eastAsiaTheme="majorEastAsia"/>
          <w:color w:val="000000"/>
          <w:kern w:val="0"/>
          <w:sz w:val="24"/>
        </w:rPr>
        <w:t>将</w:t>
      </w:r>
      <w:r>
        <w:rPr>
          <w:rFonts w:hint="eastAsia" w:cs="宋体" w:asciiTheme="majorEastAsia" w:hAnsiTheme="majorEastAsia" w:eastAsiaTheme="majorEastAsia"/>
          <w:color w:val="000000"/>
          <w:kern w:val="0"/>
          <w:sz w:val="24"/>
          <w:lang w:val="en-US" w:eastAsia="zh-CN"/>
        </w:rPr>
        <w:t>附件表格</w:t>
      </w:r>
      <w:r>
        <w:rPr>
          <w:rFonts w:hint="eastAsia" w:cs="宋体" w:asciiTheme="majorEastAsia" w:hAnsiTheme="majorEastAsia" w:eastAsiaTheme="majorEastAsia"/>
          <w:color w:val="000000"/>
          <w:kern w:val="0"/>
          <w:sz w:val="24"/>
        </w:rPr>
        <w:t>及邮件主题均</w:t>
      </w:r>
      <w:r>
        <w:rPr>
          <w:rFonts w:hint="eastAsia" w:cs="宋体" w:asciiTheme="majorEastAsia" w:hAnsiTheme="majorEastAsia" w:eastAsiaTheme="majorEastAsia"/>
          <w:color w:val="000000"/>
          <w:kern w:val="0"/>
          <w:sz w:val="24"/>
          <w:lang w:val="en-US" w:eastAsia="zh-CN"/>
        </w:rPr>
        <w:t>按</w:t>
      </w:r>
      <w:r>
        <w:rPr>
          <w:rFonts w:hint="eastAsia" w:cs="宋体" w:asciiTheme="majorEastAsia" w:hAnsiTheme="majorEastAsia" w:eastAsiaTheme="majorEastAsia"/>
          <w:color w:val="000000"/>
          <w:kern w:val="0"/>
          <w:sz w:val="24"/>
        </w:rPr>
        <w:t>以</w:t>
      </w:r>
      <w:r>
        <w:rPr>
          <w:rFonts w:hint="eastAsia" w:cs="宋体" w:asciiTheme="majorEastAsia" w:hAnsiTheme="majorEastAsia" w:eastAsiaTheme="majorEastAsia"/>
          <w:color w:val="000000"/>
          <w:kern w:val="0"/>
          <w:sz w:val="24"/>
          <w:lang w:val="en-US" w:eastAsia="zh-CN"/>
        </w:rPr>
        <w:t>下</w:t>
      </w:r>
      <w:r>
        <w:rPr>
          <w:rFonts w:hint="eastAsia" w:cs="宋体" w:asciiTheme="majorEastAsia" w:hAnsiTheme="majorEastAsia" w:eastAsiaTheme="majorEastAsia"/>
          <w:color w:val="000000"/>
          <w:kern w:val="0"/>
          <w:sz w:val="24"/>
        </w:rPr>
        <w:t>方式进行命名，不按要求命名将试为无效，</w:t>
      </w:r>
      <w:bookmarkStart w:id="0" w:name="_GoBack"/>
      <w:bookmarkEnd w:id="0"/>
      <w:r>
        <w:rPr>
          <w:rFonts w:hint="eastAsia" w:cs="宋体" w:asciiTheme="majorEastAsia" w:hAnsiTheme="majorEastAsia" w:eastAsiaTheme="majorEastAsia"/>
          <w:color w:val="000000"/>
          <w:kern w:val="0"/>
          <w:sz w:val="24"/>
        </w:rPr>
        <w:t>命名方式：“</w:t>
      </w:r>
      <w:r>
        <w:rPr>
          <w:rFonts w:hint="eastAsia" w:cs="宋体" w:asciiTheme="majorEastAsia" w:hAnsiTheme="majorEastAsia" w:eastAsiaTheme="majorEastAsia"/>
          <w:color w:val="000000"/>
          <w:kern w:val="0"/>
          <w:sz w:val="24"/>
          <w:lang w:val="en-US" w:eastAsia="zh-CN"/>
        </w:rPr>
        <w:t>预面试批次+</w:t>
      </w:r>
      <w:r>
        <w:rPr>
          <w:rFonts w:hint="eastAsia" w:cs="宋体" w:asciiTheme="majorEastAsia" w:hAnsiTheme="majorEastAsia" w:eastAsiaTheme="majorEastAsia"/>
          <w:color w:val="000000"/>
          <w:kern w:val="0"/>
          <w:sz w:val="24"/>
        </w:rPr>
        <w:t>考生编号+姓名+</w:t>
      </w:r>
      <w:r>
        <w:rPr>
          <w:rFonts w:hint="eastAsia" w:cs="宋体" w:asciiTheme="majorEastAsia" w:hAnsiTheme="majorEastAsia" w:eastAsiaTheme="majorEastAsia"/>
          <w:color w:val="000000"/>
          <w:kern w:val="0"/>
          <w:sz w:val="24"/>
          <w:lang w:val="en-US" w:eastAsia="zh-CN"/>
        </w:rPr>
        <w:t>奖学金申请材料</w:t>
      </w:r>
      <w:r>
        <w:rPr>
          <w:rFonts w:hint="eastAsia" w:cs="宋体" w:asciiTheme="majorEastAsia" w:hAnsiTheme="majorEastAsia" w:eastAsiaTheme="majorEastAsia"/>
          <w:color w:val="000000"/>
          <w:kern w:val="0"/>
          <w:sz w:val="24"/>
        </w:rPr>
        <w:t>”，例如：“</w:t>
      </w:r>
      <w:r>
        <w:rPr>
          <w:rFonts w:hint="eastAsia" w:cs="宋体" w:asciiTheme="majorEastAsia" w:hAnsiTheme="majorEastAsia" w:eastAsiaTheme="majorEastAsia"/>
          <w:color w:val="000000"/>
          <w:kern w:val="0"/>
          <w:sz w:val="24"/>
          <w:lang w:val="en-US" w:eastAsia="zh-CN"/>
        </w:rPr>
        <w:t>7月批次</w:t>
      </w:r>
      <w:r>
        <w:rPr>
          <w:rFonts w:hint="eastAsia"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lang w:val="en-US" w:eastAsia="zh-CN"/>
        </w:rPr>
        <w:t>20230001+张三</w:t>
      </w:r>
      <w:r>
        <w:rPr>
          <w:rFonts w:hint="eastAsia"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lang w:val="en-US" w:eastAsia="zh-CN"/>
        </w:rPr>
        <w:t>奖学金申请材料</w:t>
      </w:r>
      <w:r>
        <w:rPr>
          <w:rFonts w:hint="eastAsia"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lang w:eastAsia="zh-CN"/>
        </w:rPr>
        <w:t>。</w:t>
      </w:r>
    </w:p>
    <w:p>
      <w:pPr>
        <w:numPr>
          <w:ilvl w:val="0"/>
          <w:numId w:val="4"/>
        </w:numPr>
        <w:spacing w:line="360" w:lineRule="auto"/>
        <w:ind w:firstLine="480" w:firstLineChars="20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提交</w:t>
      </w:r>
      <w:r>
        <w:rPr>
          <w:rFonts w:hint="eastAsia" w:cs="宋体" w:asciiTheme="majorEastAsia" w:hAnsiTheme="majorEastAsia" w:eastAsiaTheme="majorEastAsia"/>
          <w:color w:val="000000"/>
          <w:kern w:val="0"/>
          <w:sz w:val="24"/>
          <w:lang w:val="en-US" w:eastAsia="zh-CN"/>
        </w:rPr>
        <w:t>时间：在2022年8月10日至2022年11月15日期间提交均可，需要在申请人获得“优秀”预面试资格后进行提交。</w:t>
      </w:r>
    </w:p>
    <w:p>
      <w:pPr>
        <w:numPr>
          <w:ilvl w:val="0"/>
          <w:numId w:val="4"/>
        </w:numPr>
        <w:spacing w:line="360" w:lineRule="auto"/>
        <w:ind w:firstLine="480" w:firstLineChars="200"/>
        <w:jc w:val="left"/>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val="en-US" w:eastAsia="zh-CN"/>
        </w:rPr>
        <w:t>提交</w:t>
      </w:r>
      <w:r>
        <w:rPr>
          <w:rFonts w:hint="eastAsia" w:cs="宋体" w:asciiTheme="majorEastAsia" w:hAnsiTheme="majorEastAsia" w:eastAsiaTheme="majorEastAsia"/>
          <w:color w:val="000000"/>
          <w:kern w:val="0"/>
          <w:sz w:val="24"/>
        </w:rPr>
        <w:t>邮箱：nkuzsmba@126.com</w:t>
      </w:r>
      <w:r>
        <w:rPr>
          <w:rFonts w:hint="eastAsia" w:cs="宋体" w:asciiTheme="majorEastAsia" w:hAnsiTheme="majorEastAsia" w:eastAsiaTheme="majorEastAsia"/>
          <w:color w:val="000000"/>
          <w:kern w:val="0"/>
          <w:sz w:val="24"/>
          <w:lang w:eastAsia="zh-CN"/>
        </w:rPr>
        <w:t>。</w:t>
      </w:r>
    </w:p>
    <w:p>
      <w:pPr>
        <w:pStyle w:val="13"/>
        <w:widowControl/>
        <w:spacing w:before="156" w:beforeLines="50" w:line="360" w:lineRule="auto"/>
        <w:ind w:right="450" w:firstLine="480" w:firstLineChars="200"/>
        <w:jc w:val="right"/>
        <w:rPr>
          <w:rFonts w:cs="宋体" w:asciiTheme="majorEastAsia" w:hAnsiTheme="majorEastAsia" w:eastAsiaTheme="majorEastAsia"/>
          <w:color w:val="000000"/>
          <w:sz w:val="24"/>
        </w:rPr>
      </w:pPr>
    </w:p>
    <w:p>
      <w:pPr>
        <w:pStyle w:val="13"/>
        <w:widowControl/>
        <w:spacing w:before="156" w:beforeLines="50" w:line="360" w:lineRule="auto"/>
        <w:ind w:right="450" w:firstLine="480" w:firstLineChars="200"/>
        <w:jc w:val="right"/>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南开大学商学院专业学位教育中心</w:t>
      </w:r>
    </w:p>
    <w:p>
      <w:pPr>
        <w:pStyle w:val="13"/>
        <w:widowControl/>
        <w:spacing w:before="156" w:beforeLines="50" w:line="360" w:lineRule="auto"/>
        <w:ind w:right="450" w:firstLine="480" w:firstLineChars="200"/>
        <w:jc w:val="right"/>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rPr>
        <w:t>2022年</w:t>
      </w:r>
      <w:r>
        <w:rPr>
          <w:rFonts w:cs="宋体" w:asciiTheme="majorEastAsia" w:hAnsiTheme="majorEastAsia" w:eastAsiaTheme="majorEastAsia"/>
          <w:color w:val="000000"/>
          <w:sz w:val="24"/>
        </w:rPr>
        <w:t>8</w:t>
      </w:r>
      <w:r>
        <w:rPr>
          <w:rFonts w:hint="eastAsia" w:cs="宋体" w:asciiTheme="majorEastAsia" w:hAnsiTheme="majorEastAsia" w:eastAsiaTheme="majorEastAsia"/>
          <w:color w:val="000000"/>
          <w:sz w:val="24"/>
        </w:rPr>
        <w:t>月</w:t>
      </w:r>
      <w:r>
        <w:rPr>
          <w:rFonts w:hint="eastAsia" w:cs="宋体" w:asciiTheme="majorEastAsia" w:hAnsiTheme="majorEastAsia" w:eastAsiaTheme="majorEastAsia"/>
          <w:color w:val="000000"/>
          <w:sz w:val="24"/>
          <w:lang w:val="en-US" w:eastAsia="zh-CN"/>
        </w:rPr>
        <w:t>10日</w:t>
      </w:r>
    </w:p>
    <w:p>
      <w:pPr>
        <w:spacing w:line="360" w:lineRule="auto"/>
        <w:jc w:val="left"/>
        <w:rPr>
          <w:rFonts w:ascii="仿宋_GB2312" w:hAnsi="宋体" w:eastAsia="仿宋_GB2312" w:cs="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D0FD0"/>
    <w:multiLevelType w:val="singleLevel"/>
    <w:tmpl w:val="962D0FD0"/>
    <w:lvl w:ilvl="0" w:tentative="0">
      <w:start w:val="1"/>
      <w:numFmt w:val="decimal"/>
      <w:lvlText w:val="%1."/>
      <w:lvlJc w:val="left"/>
      <w:pPr>
        <w:tabs>
          <w:tab w:val="left" w:pos="312"/>
        </w:tabs>
      </w:pPr>
    </w:lvl>
  </w:abstractNum>
  <w:abstractNum w:abstractNumId="1">
    <w:nsid w:val="C3F14A3B"/>
    <w:multiLevelType w:val="singleLevel"/>
    <w:tmpl w:val="C3F14A3B"/>
    <w:lvl w:ilvl="0" w:tentative="0">
      <w:start w:val="2"/>
      <w:numFmt w:val="decimal"/>
      <w:lvlText w:val="%1."/>
      <w:lvlJc w:val="left"/>
      <w:pPr>
        <w:tabs>
          <w:tab w:val="left" w:pos="312"/>
        </w:tabs>
      </w:pPr>
    </w:lvl>
  </w:abstractNum>
  <w:abstractNum w:abstractNumId="2">
    <w:nsid w:val="C7F75D37"/>
    <w:multiLevelType w:val="singleLevel"/>
    <w:tmpl w:val="C7F75D37"/>
    <w:lvl w:ilvl="0" w:tentative="0">
      <w:start w:val="1"/>
      <w:numFmt w:val="decimal"/>
      <w:suff w:val="nothing"/>
      <w:lvlText w:val="（%1）"/>
      <w:lvlJc w:val="left"/>
    </w:lvl>
  </w:abstractNum>
  <w:abstractNum w:abstractNumId="3">
    <w:nsid w:val="0C2006DB"/>
    <w:multiLevelType w:val="singleLevel"/>
    <w:tmpl w:val="0C2006DB"/>
    <w:lvl w:ilvl="0" w:tentative="0">
      <w:start w:val="5"/>
      <w:numFmt w:val="chineseCounting"/>
      <w:suff w:val="space"/>
      <w:lvlText w:val="第%1条"/>
      <w:lvlJc w:val="left"/>
      <w:rPr>
        <w:rFonts w:hint="eastAsia"/>
      </w:rPr>
    </w:lvl>
  </w:abstractNum>
  <w:abstractNum w:abstractNumId="4">
    <w:nsid w:val="10B56AEB"/>
    <w:multiLevelType w:val="singleLevel"/>
    <w:tmpl w:val="10B56AEB"/>
    <w:lvl w:ilvl="0" w:tentative="0">
      <w:start w:val="1"/>
      <w:numFmt w:val="chineseCounting"/>
      <w:suff w:val="space"/>
      <w:lvlText w:val="第%1条"/>
      <w:lvlJc w:val="left"/>
      <w:rPr>
        <w:rFonts w:hint="eastAsia"/>
      </w:rPr>
    </w:lvl>
  </w:abstractNum>
  <w:abstractNum w:abstractNumId="5">
    <w:nsid w:val="2973DA69"/>
    <w:multiLevelType w:val="singleLevel"/>
    <w:tmpl w:val="2973DA69"/>
    <w:lvl w:ilvl="0" w:tentative="0">
      <w:start w:val="1"/>
      <w:numFmt w:val="decimal"/>
      <w:lvlText w:val="%1."/>
      <w:lvlJc w:val="left"/>
      <w:pPr>
        <w:tabs>
          <w:tab w:val="left" w:pos="312"/>
        </w:tabs>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DE1MTlmM2Q3YmVlNjEwODNlYWI0YWM0N2RmNDIifQ=="/>
  </w:docVars>
  <w:rsids>
    <w:rsidRoot w:val="58925487"/>
    <w:rsid w:val="00040D83"/>
    <w:rsid w:val="00172C12"/>
    <w:rsid w:val="00203C42"/>
    <w:rsid w:val="002B0B67"/>
    <w:rsid w:val="0032056A"/>
    <w:rsid w:val="0041552D"/>
    <w:rsid w:val="00441A05"/>
    <w:rsid w:val="00515D7B"/>
    <w:rsid w:val="00784B4D"/>
    <w:rsid w:val="007E3FA6"/>
    <w:rsid w:val="00812BFB"/>
    <w:rsid w:val="00842445"/>
    <w:rsid w:val="008D458D"/>
    <w:rsid w:val="00917403"/>
    <w:rsid w:val="00920206"/>
    <w:rsid w:val="00975DC1"/>
    <w:rsid w:val="009B1C3C"/>
    <w:rsid w:val="00A245BD"/>
    <w:rsid w:val="00AC0B85"/>
    <w:rsid w:val="00AD3CC2"/>
    <w:rsid w:val="00B2003E"/>
    <w:rsid w:val="00BA229C"/>
    <w:rsid w:val="00BD337D"/>
    <w:rsid w:val="00BD496A"/>
    <w:rsid w:val="00C3547F"/>
    <w:rsid w:val="00C427AD"/>
    <w:rsid w:val="00C67581"/>
    <w:rsid w:val="00C728BD"/>
    <w:rsid w:val="00C93BA5"/>
    <w:rsid w:val="00D30247"/>
    <w:rsid w:val="00D475A2"/>
    <w:rsid w:val="00D719D8"/>
    <w:rsid w:val="00DB4B9C"/>
    <w:rsid w:val="00DE032A"/>
    <w:rsid w:val="00F97B9B"/>
    <w:rsid w:val="0AFD0EBC"/>
    <w:rsid w:val="0B3B5918"/>
    <w:rsid w:val="0DD203DE"/>
    <w:rsid w:val="0F9718DF"/>
    <w:rsid w:val="10DC125F"/>
    <w:rsid w:val="10E072B6"/>
    <w:rsid w:val="155B1B0E"/>
    <w:rsid w:val="164A3EAD"/>
    <w:rsid w:val="166A14F5"/>
    <w:rsid w:val="1ED153B1"/>
    <w:rsid w:val="1F2C4D84"/>
    <w:rsid w:val="273249D2"/>
    <w:rsid w:val="29D812F2"/>
    <w:rsid w:val="2A181417"/>
    <w:rsid w:val="314825E1"/>
    <w:rsid w:val="3D7F4D17"/>
    <w:rsid w:val="458B65D4"/>
    <w:rsid w:val="459B4F7E"/>
    <w:rsid w:val="4E88120F"/>
    <w:rsid w:val="55CC0C1E"/>
    <w:rsid w:val="58515AEE"/>
    <w:rsid w:val="58925487"/>
    <w:rsid w:val="5D233541"/>
    <w:rsid w:val="5FB90E3F"/>
    <w:rsid w:val="66291CDA"/>
    <w:rsid w:val="66667609"/>
    <w:rsid w:val="691766C8"/>
    <w:rsid w:val="6FFFBF4F"/>
    <w:rsid w:val="717AC734"/>
    <w:rsid w:val="77E37829"/>
    <w:rsid w:val="784D7AF5"/>
    <w:rsid w:val="796D740E"/>
    <w:rsid w:val="7DF5ED2D"/>
    <w:rsid w:val="7FAE5C65"/>
    <w:rsid w:val="BCFD8090"/>
    <w:rsid w:val="CF3CB0E6"/>
    <w:rsid w:val="FF6FE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qFormat/>
    <w:uiPriority w:val="0"/>
    <w:rPr>
      <w:b/>
    </w:rPr>
  </w:style>
  <w:style w:type="character" w:customStyle="1" w:styleId="8">
    <w:name w:val="font31"/>
    <w:basedOn w:val="6"/>
    <w:qFormat/>
    <w:uiPriority w:val="0"/>
    <w:rPr>
      <w:rFonts w:hint="eastAsia" w:ascii="宋体" w:hAnsi="宋体" w:eastAsia="宋体" w:cs="宋体"/>
      <w:b/>
      <w:bCs/>
      <w:color w:val="000000"/>
      <w:sz w:val="21"/>
      <w:szCs w:val="21"/>
      <w:u w:val="none"/>
    </w:rPr>
  </w:style>
  <w:style w:type="character" w:customStyle="1" w:styleId="9">
    <w:name w:val="font41"/>
    <w:basedOn w:val="6"/>
    <w:qFormat/>
    <w:uiPriority w:val="0"/>
    <w:rPr>
      <w:rFonts w:hint="default" w:ascii="Helvetica" w:hAnsi="Helvetica" w:eastAsia="Helvetica" w:cs="Helvetica"/>
      <w:b/>
      <w:bCs/>
      <w:color w:val="000000"/>
      <w:sz w:val="21"/>
      <w:szCs w:val="21"/>
      <w:u w:val="none"/>
    </w:rPr>
  </w:style>
  <w:style w:type="character" w:customStyle="1" w:styleId="10">
    <w:name w:val="font51"/>
    <w:basedOn w:val="6"/>
    <w:qFormat/>
    <w:uiPriority w:val="0"/>
    <w:rPr>
      <w:rFonts w:hint="default" w:ascii="Helvetica" w:hAnsi="Helvetica" w:eastAsia="Helvetica" w:cs="Helvetica"/>
      <w:color w:val="000000"/>
      <w:sz w:val="21"/>
      <w:szCs w:val="21"/>
      <w:u w:val="none"/>
    </w:rPr>
  </w:style>
  <w:style w:type="character" w:customStyle="1" w:styleId="11">
    <w:name w:val="font11"/>
    <w:basedOn w:val="6"/>
    <w:qFormat/>
    <w:uiPriority w:val="0"/>
    <w:rPr>
      <w:rFonts w:hint="eastAsia" w:ascii="宋体" w:hAnsi="宋体" w:eastAsia="宋体" w:cs="宋体"/>
      <w:color w:val="000000"/>
      <w:sz w:val="21"/>
      <w:szCs w:val="21"/>
      <w:u w:val="none"/>
    </w:rPr>
  </w:style>
  <w:style w:type="character" w:customStyle="1" w:styleId="12">
    <w:name w:val="font21"/>
    <w:basedOn w:val="6"/>
    <w:qFormat/>
    <w:uiPriority w:val="0"/>
    <w:rPr>
      <w:rFonts w:hint="eastAsia" w:ascii="宋体" w:hAnsi="宋体" w:eastAsia="宋体" w:cs="宋体"/>
      <w:b/>
      <w:bCs/>
      <w:color w:val="000000"/>
      <w:sz w:val="21"/>
      <w:szCs w:val="21"/>
      <w:u w:val="none"/>
    </w:rPr>
  </w:style>
  <w:style w:type="paragraph" w:customStyle="1" w:styleId="13">
    <w:name w:val="p_text_indent_2"/>
    <w:basedOn w:val="1"/>
    <w:qFormat/>
    <w:uiPriority w:val="0"/>
    <w:pPr>
      <w:ind w:firstLine="420"/>
      <w:jc w:val="left"/>
    </w:pPr>
    <w:rPr>
      <w:rFonts w:cs="Times New Roman"/>
      <w:kern w:val="0"/>
    </w:rPr>
  </w:style>
  <w:style w:type="character" w:customStyle="1" w:styleId="14">
    <w:name w:val="页眉 字符"/>
    <w:basedOn w:val="6"/>
    <w:link w:val="3"/>
    <w:qFormat/>
    <w:uiPriority w:val="0"/>
    <w:rPr>
      <w:rFonts w:asciiTheme="minorHAnsi" w:hAnsiTheme="minorHAnsi" w:eastAsiaTheme="minorEastAsia" w:cstheme="minorBidi"/>
      <w:kern w:val="2"/>
      <w:sz w:val="18"/>
      <w:szCs w:val="18"/>
    </w:rPr>
  </w:style>
  <w:style w:type="character" w:customStyle="1" w:styleId="15">
    <w:name w:val="页脚 字符"/>
    <w:basedOn w:val="6"/>
    <w:link w:val="2"/>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paragraph" w:customStyle="1" w:styleId="17">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2394</Words>
  <Characters>2507</Characters>
  <Lines>18</Lines>
  <Paragraphs>5</Paragraphs>
  <TotalTime>13</TotalTime>
  <ScaleCrop>false</ScaleCrop>
  <LinksUpToDate>false</LinksUpToDate>
  <CharactersWithSpaces>2521</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2022-08-09T08:24:00Z</dcterms:created>
  <dc:creator>DELL</dc:creator>
  <cp:lastModifiedBy>DELL</cp:lastModifiedBy>
  <dcterms:modified xsi:type="dcterms:W3CDTF">2022-08-09T09:13:00Z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1AEF6F9CD5DD2001A853DD62819176B0</vt:lpwstr>
  </property>
</Properties>
</file>